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Look w:val="0000"/>
      </w:tblPr>
      <w:tblGrid>
        <w:gridCol w:w="1008"/>
        <w:gridCol w:w="7920"/>
      </w:tblGrid>
      <w:tr w:rsidR="005C1194">
        <w:trPr>
          <w:trHeight w:val="890"/>
        </w:trPr>
        <w:tc>
          <w:tcPr>
            <w:tcW w:w="1008" w:type="dxa"/>
          </w:tcPr>
          <w:p w:rsidR="005C1194" w:rsidRDefault="006005EC">
            <w:r>
              <w:rPr>
                <w:noProof/>
                <w:sz w:val="20"/>
              </w:rPr>
              <w:drawing>
                <wp:anchor distT="57150" distB="57150" distL="57150" distR="57150" simplePos="0" relativeHeight="251657216" behindDoc="0" locked="0" layoutInCell="1" allowOverlap="1">
                  <wp:simplePos x="0" y="0"/>
                  <wp:positionH relativeFrom="margin">
                    <wp:posOffset>-685800</wp:posOffset>
                  </wp:positionH>
                  <wp:positionV relativeFrom="margin">
                    <wp:posOffset>-234950</wp:posOffset>
                  </wp:positionV>
                  <wp:extent cx="1051560" cy="10515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t="2547" b="-2547"/>
                          <a:stretch>
                            <a:fillRect/>
                          </a:stretch>
                        </pic:blipFill>
                        <pic:spPr bwMode="auto">
                          <a:xfrm>
                            <a:off x="0" y="0"/>
                            <a:ext cx="1051560" cy="1051560"/>
                          </a:xfrm>
                          <a:prstGeom prst="rect">
                            <a:avLst/>
                          </a:prstGeom>
                          <a:noFill/>
                          <a:ln w="9525">
                            <a:noFill/>
                            <a:miter lim="800000"/>
                            <a:headEnd/>
                            <a:tailEnd/>
                          </a:ln>
                        </pic:spPr>
                      </pic:pic>
                    </a:graphicData>
                  </a:graphic>
                </wp:anchor>
              </w:drawing>
            </w:r>
          </w:p>
        </w:tc>
        <w:tc>
          <w:tcPr>
            <w:tcW w:w="7920" w:type="dxa"/>
          </w:tcPr>
          <w:p w:rsidR="000910E7" w:rsidRDefault="000910E7">
            <w:pPr>
              <w:pStyle w:val="Heading1"/>
            </w:pPr>
            <w:r>
              <w:t>CALIFORNIA SUPREME COURT</w:t>
            </w:r>
          </w:p>
          <w:p w:rsidR="005C1194" w:rsidRDefault="00387F96">
            <w:pPr>
              <w:pStyle w:val="Heading1"/>
            </w:pPr>
            <w:r>
              <w:t>STATE BAR TRUSTEES</w:t>
            </w:r>
          </w:p>
          <w:p w:rsidR="00387F96" w:rsidRPr="00387F96" w:rsidRDefault="00387F96" w:rsidP="00387F96">
            <w:pPr>
              <w:pStyle w:val="Heading1"/>
            </w:pPr>
            <w:r>
              <w:t>NOMINATING COMMITTEE</w:t>
            </w:r>
          </w:p>
        </w:tc>
      </w:tr>
    </w:tbl>
    <w:p w:rsidR="005C1194" w:rsidRDefault="00205C9A">
      <w:pPr>
        <w:rPr>
          <w:sz w:val="16"/>
        </w:rPr>
      </w:pPr>
      <w:r w:rsidRPr="00205C9A">
        <w:rPr>
          <w:noProof/>
          <w:sz w:val="20"/>
        </w:rPr>
        <w:pict>
          <v:line id="_x0000_s1026" style="position:absolute;z-index:251658240;mso-position-horizontal-relative:text;mso-position-vertical-relative:text" from="54pt,.5pt" to="495pt,.5pt"/>
        </w:pict>
      </w:r>
      <w:r w:rsidR="00CE7421">
        <w:tab/>
      </w:r>
    </w:p>
    <w:tbl>
      <w:tblPr>
        <w:tblW w:w="9000" w:type="dxa"/>
        <w:tblInd w:w="1008" w:type="dxa"/>
        <w:tblLook w:val="0000"/>
      </w:tblPr>
      <w:tblGrid>
        <w:gridCol w:w="7560"/>
        <w:gridCol w:w="1440"/>
      </w:tblGrid>
      <w:tr w:rsidR="005C1194">
        <w:tc>
          <w:tcPr>
            <w:tcW w:w="7560" w:type="dxa"/>
          </w:tcPr>
          <w:p w:rsidR="005C1194" w:rsidRDefault="00CE7421" w:rsidP="002E7872">
            <w:pPr>
              <w:rPr>
                <w:sz w:val="16"/>
              </w:rPr>
            </w:pPr>
            <w:r>
              <w:rPr>
                <w:sz w:val="16"/>
              </w:rPr>
              <w:t xml:space="preserve">180 HOWARD STREET, </w:t>
            </w:r>
            <w:r w:rsidR="00B26CAA">
              <w:rPr>
                <w:sz w:val="16"/>
              </w:rPr>
              <w:t xml:space="preserve">10th </w:t>
            </w:r>
            <w:r>
              <w:rPr>
                <w:sz w:val="16"/>
              </w:rPr>
              <w:t>FLOOR, SAN FRANCISCO, CALIFORNIA 94105-1639</w:t>
            </w:r>
          </w:p>
        </w:tc>
        <w:tc>
          <w:tcPr>
            <w:tcW w:w="1440" w:type="dxa"/>
          </w:tcPr>
          <w:p w:rsidR="005C1194" w:rsidRDefault="00CE7421" w:rsidP="002E7872">
            <w:pPr>
              <w:jc w:val="right"/>
              <w:rPr>
                <w:sz w:val="16"/>
              </w:rPr>
            </w:pPr>
            <w:r>
              <w:rPr>
                <w:sz w:val="16"/>
              </w:rPr>
              <w:t>(415) 538-</w:t>
            </w:r>
            <w:r w:rsidR="00B26CAA">
              <w:rPr>
                <w:sz w:val="16"/>
              </w:rPr>
              <w:t>2279</w:t>
            </w:r>
          </w:p>
        </w:tc>
      </w:tr>
    </w:tbl>
    <w:p w:rsidR="005C1194" w:rsidRDefault="005C1194"/>
    <w:p w:rsidR="005C1194" w:rsidRDefault="005C1194"/>
    <w:p w:rsidR="005C1194" w:rsidRDefault="00CE7421">
      <w:pPr>
        <w:jc w:val="center"/>
        <w:rPr>
          <w:b/>
          <w:bCs/>
          <w:sz w:val="26"/>
          <w:szCs w:val="26"/>
        </w:rPr>
      </w:pPr>
      <w:r>
        <w:rPr>
          <w:b/>
          <w:bCs/>
          <w:sz w:val="26"/>
          <w:szCs w:val="26"/>
        </w:rPr>
        <w:t xml:space="preserve">STATE BAR </w:t>
      </w:r>
      <w:r w:rsidR="009864EC">
        <w:rPr>
          <w:b/>
          <w:bCs/>
          <w:sz w:val="26"/>
          <w:szCs w:val="26"/>
        </w:rPr>
        <w:t>BOARD OF TRUSTEES</w:t>
      </w:r>
      <w:r>
        <w:rPr>
          <w:b/>
          <w:bCs/>
          <w:sz w:val="26"/>
          <w:szCs w:val="26"/>
        </w:rPr>
        <w:t xml:space="preserve"> </w:t>
      </w:r>
    </w:p>
    <w:p w:rsidR="005C1194" w:rsidRDefault="00CE7421">
      <w:pPr>
        <w:jc w:val="center"/>
        <w:rPr>
          <w:b/>
          <w:bCs/>
          <w:sz w:val="26"/>
          <w:szCs w:val="26"/>
        </w:rPr>
      </w:pPr>
      <w:r>
        <w:rPr>
          <w:b/>
          <w:bCs/>
          <w:sz w:val="26"/>
          <w:szCs w:val="26"/>
        </w:rPr>
        <w:t>FACT SHEET</w:t>
      </w:r>
    </w:p>
    <w:p w:rsidR="005C1194" w:rsidRDefault="005C1194">
      <w:pPr>
        <w:jc w:val="both"/>
        <w:rPr>
          <w:sz w:val="26"/>
          <w:szCs w:val="26"/>
        </w:rPr>
      </w:pPr>
    </w:p>
    <w:p w:rsidR="005C1194" w:rsidRDefault="005C1194">
      <w:pPr>
        <w:jc w:val="both"/>
        <w:rPr>
          <w:sz w:val="26"/>
          <w:szCs w:val="26"/>
        </w:rPr>
      </w:pPr>
    </w:p>
    <w:p w:rsidR="000910E7" w:rsidRDefault="000910E7" w:rsidP="000910E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 xml:space="preserve">The California Supreme Court is charged with appointing five members of the State Bar of California’s Board of Trustees.  </w:t>
      </w:r>
      <w:r w:rsidR="00BD4BD1">
        <w:rPr>
          <w:sz w:val="26"/>
          <w:szCs w:val="26"/>
        </w:rPr>
        <w:t>Pursuant to R</w:t>
      </w:r>
      <w:r>
        <w:rPr>
          <w:sz w:val="26"/>
          <w:szCs w:val="26"/>
        </w:rPr>
        <w:t>ule 9.90 of the California Rules of Court, the Supreme Court has created the State Bar Trustees Nominating Committee to solicit, receive, screen and evaluate all applications for appointment or reappointment to the State Bar Board of Trustees</w:t>
      </w:r>
      <w:r w:rsidR="00BD4BD1">
        <w:rPr>
          <w:sz w:val="26"/>
          <w:szCs w:val="26"/>
        </w:rPr>
        <w:t xml:space="preserve"> and to make recommendations to the Supreme Court</w:t>
      </w:r>
      <w:r>
        <w:rPr>
          <w:sz w:val="26"/>
          <w:szCs w:val="26"/>
        </w:rPr>
        <w:t xml:space="preserve">.  </w:t>
      </w:r>
    </w:p>
    <w:p w:rsidR="000910E7" w:rsidRDefault="000910E7" w:rsidP="000910E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5C1194" w:rsidRDefault="00C87EFD">
      <w:pPr>
        <w:tabs>
          <w:tab w:val="left" w:pos="1080"/>
          <w:tab w:val="left" w:pos="3960"/>
        </w:tabs>
        <w:rPr>
          <w:sz w:val="26"/>
          <w:szCs w:val="26"/>
        </w:rPr>
      </w:pPr>
      <w:r>
        <w:rPr>
          <w:sz w:val="26"/>
          <w:szCs w:val="26"/>
        </w:rPr>
        <w:t xml:space="preserve">The California Supreme Court’s State Bar Trustees </w:t>
      </w:r>
      <w:r w:rsidR="00CE7421">
        <w:rPr>
          <w:sz w:val="26"/>
          <w:szCs w:val="26"/>
        </w:rPr>
        <w:t>Nominatin</w:t>
      </w:r>
      <w:r>
        <w:rPr>
          <w:sz w:val="26"/>
          <w:szCs w:val="26"/>
        </w:rPr>
        <w:t>g</w:t>
      </w:r>
      <w:r w:rsidR="00CE7421">
        <w:rPr>
          <w:sz w:val="26"/>
          <w:szCs w:val="26"/>
        </w:rPr>
        <w:t xml:space="preserve"> Committee is seeking qualified candidates to serve as </w:t>
      </w:r>
      <w:r>
        <w:rPr>
          <w:sz w:val="26"/>
          <w:szCs w:val="26"/>
        </w:rPr>
        <w:t>Board of Trustees of the State Bar of California</w:t>
      </w:r>
      <w:r w:rsidR="00CE7421">
        <w:rPr>
          <w:sz w:val="26"/>
          <w:szCs w:val="26"/>
        </w:rPr>
        <w:t>.</w:t>
      </w:r>
      <w:r w:rsidR="00AA1185">
        <w:rPr>
          <w:sz w:val="26"/>
          <w:szCs w:val="26"/>
        </w:rPr>
        <w:t xml:space="preserve">  </w:t>
      </w:r>
      <w:r w:rsidR="000910E7">
        <w:rPr>
          <w:sz w:val="26"/>
          <w:szCs w:val="26"/>
        </w:rPr>
        <w:t>In 2013, t</w:t>
      </w:r>
      <w:r w:rsidR="00AA1185">
        <w:rPr>
          <w:sz w:val="26"/>
          <w:szCs w:val="26"/>
        </w:rPr>
        <w:t>wo Board of Trustees positions will be filled during this process.</w:t>
      </w:r>
    </w:p>
    <w:p w:rsidR="005C1194" w:rsidRDefault="005C1194">
      <w:pPr>
        <w:tabs>
          <w:tab w:val="left" w:pos="1080"/>
          <w:tab w:val="left" w:pos="3960"/>
        </w:tabs>
        <w:rPr>
          <w:sz w:val="26"/>
          <w:szCs w:val="26"/>
        </w:rPr>
      </w:pPr>
    </w:p>
    <w:p w:rsidR="00C87EFD" w:rsidRDefault="00C87EFD">
      <w:pPr>
        <w:tabs>
          <w:tab w:val="left" w:pos="1080"/>
          <w:tab w:val="left" w:pos="3960"/>
        </w:tabs>
        <w:rPr>
          <w:sz w:val="26"/>
          <w:szCs w:val="26"/>
        </w:rPr>
      </w:pPr>
      <w:r>
        <w:rPr>
          <w:sz w:val="26"/>
          <w:szCs w:val="26"/>
        </w:rPr>
        <w:t>The Board of Trustees of the State Bar is charged with the executive functions of the State Bar.  Public protection is the highest priority of the board in exercising its licensing, regulatory, and disciplinary functions.  The Board meets approximately eight times a year to consider organizational, policy and professional issues.</w:t>
      </w:r>
    </w:p>
    <w:p w:rsidR="002F6FDF" w:rsidRDefault="002F6FDF">
      <w:pPr>
        <w:tabs>
          <w:tab w:val="left" w:pos="1080"/>
          <w:tab w:val="left" w:pos="3960"/>
        </w:tabs>
        <w:rPr>
          <w:sz w:val="26"/>
          <w:szCs w:val="26"/>
        </w:rPr>
      </w:pP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b/>
          <w:bCs/>
          <w:sz w:val="26"/>
          <w:szCs w:val="26"/>
        </w:rPr>
      </w:pPr>
      <w:r>
        <w:rPr>
          <w:b/>
          <w:bCs/>
          <w:sz w:val="26"/>
          <w:szCs w:val="26"/>
        </w:rPr>
        <w:t>Position Description</w:t>
      </w: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sidRPr="002F6FDF">
        <w:rPr>
          <w:sz w:val="26"/>
          <w:szCs w:val="26"/>
        </w:rPr>
        <w:t>All members of the Board are public officials, acting under oath, and the Board constitutes the highest decision-making body of the State Bar.</w:t>
      </w:r>
      <w:r>
        <w:rPr>
          <w:sz w:val="26"/>
          <w:szCs w:val="26"/>
        </w:rPr>
        <w:t xml:space="preserve">  </w:t>
      </w:r>
      <w:r w:rsidRPr="002F6FDF">
        <w:rPr>
          <w:sz w:val="26"/>
          <w:szCs w:val="26"/>
        </w:rPr>
        <w:t>The role of the Board of Trustees is to establish and monitor policies which fulfill the mission, goals and objectives of the State Bar. The Board is to establish and monitor policies which implement the mission, goals and objectives of the State Bar within parameters set by the Board, the State Bar Act, the Supreme Court and other appropriate provisions of law.</w:t>
      </w: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0"/>
        <w:rPr>
          <w:sz w:val="26"/>
          <w:szCs w:val="26"/>
        </w:rPr>
      </w:pP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0"/>
        <w:rPr>
          <w:sz w:val="26"/>
          <w:szCs w:val="26"/>
        </w:rPr>
      </w:pPr>
      <w:r w:rsidRPr="002F6FDF">
        <w:rPr>
          <w:sz w:val="26"/>
          <w:szCs w:val="26"/>
        </w:rPr>
        <w:t>On an annual basis, the Board is responsible for adopting, evaluating, and modifying a long-range plan that addresses both present and future challenges and opportunities for the State Bar. The plan will express the vision, mission, goals and objectives of the State Bar.</w:t>
      </w: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0"/>
        <w:rPr>
          <w:sz w:val="26"/>
          <w:szCs w:val="26"/>
        </w:rPr>
      </w:pPr>
    </w:p>
    <w:p w:rsidR="002E60B7" w:rsidRDefault="002E60B7" w:rsidP="002E60B7">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0"/>
        <w:rPr>
          <w:sz w:val="26"/>
          <w:szCs w:val="26"/>
        </w:rPr>
      </w:pPr>
      <w:r w:rsidRPr="002F6FDF">
        <w:rPr>
          <w:sz w:val="26"/>
          <w:szCs w:val="26"/>
        </w:rPr>
        <w:t>The Board is responsible for implementing statutorily mandated policies for the State Bar.</w:t>
      </w:r>
      <w:r>
        <w:rPr>
          <w:sz w:val="26"/>
          <w:szCs w:val="26"/>
        </w:rPr>
        <w:t xml:space="preserve">  </w:t>
      </w:r>
      <w:r w:rsidRPr="002F6FDF">
        <w:rPr>
          <w:sz w:val="26"/>
          <w:szCs w:val="26"/>
        </w:rPr>
        <w:t>The Board is</w:t>
      </w:r>
      <w:r>
        <w:rPr>
          <w:sz w:val="26"/>
          <w:szCs w:val="26"/>
        </w:rPr>
        <w:t xml:space="preserve"> also</w:t>
      </w:r>
      <w:r w:rsidRPr="002F6FDF">
        <w:rPr>
          <w:sz w:val="26"/>
          <w:szCs w:val="26"/>
        </w:rPr>
        <w:t xml:space="preserve"> responsible for establishing policies, programs and services which benefit and advance the interests of the public, the members of the State Bar, the justice system, and the legislature in access to justice and ethical, competent and professional legal services. Services to the membership shall include providing member resources related to the practice of law and the enhancement of the profession.</w:t>
      </w:r>
    </w:p>
    <w:p w:rsidR="002E60B7" w:rsidRDefault="002E60B7">
      <w:pPr>
        <w:tabs>
          <w:tab w:val="left" w:pos="1080"/>
          <w:tab w:val="left" w:pos="3960"/>
        </w:tabs>
        <w:rPr>
          <w:sz w:val="26"/>
          <w:szCs w:val="26"/>
        </w:rPr>
      </w:pPr>
    </w:p>
    <w:p w:rsidR="005C1194" w:rsidRDefault="00CE7421">
      <w:pPr>
        <w:tabs>
          <w:tab w:val="left" w:pos="1080"/>
          <w:tab w:val="left" w:pos="3960"/>
        </w:tabs>
        <w:rPr>
          <w:sz w:val="26"/>
          <w:szCs w:val="26"/>
        </w:rPr>
      </w:pPr>
      <w:r>
        <w:rPr>
          <w:b/>
          <w:bCs/>
          <w:sz w:val="26"/>
          <w:szCs w:val="26"/>
        </w:rPr>
        <w:t>Qualifications</w:t>
      </w:r>
    </w:p>
    <w:p w:rsidR="00C87EFD" w:rsidRDefault="00C87EFD">
      <w:pPr>
        <w:tabs>
          <w:tab w:val="left" w:pos="1080"/>
          <w:tab w:val="left" w:pos="3960"/>
        </w:tabs>
        <w:rPr>
          <w:sz w:val="26"/>
          <w:szCs w:val="26"/>
        </w:rPr>
      </w:pPr>
    </w:p>
    <w:p w:rsidR="005C1194" w:rsidRDefault="00472308">
      <w:pPr>
        <w:tabs>
          <w:tab w:val="left" w:pos="1080"/>
          <w:tab w:val="left" w:pos="3960"/>
        </w:tabs>
        <w:rPr>
          <w:sz w:val="26"/>
          <w:szCs w:val="26"/>
        </w:rPr>
      </w:pPr>
      <w:r>
        <w:rPr>
          <w:sz w:val="26"/>
          <w:szCs w:val="26"/>
        </w:rPr>
        <w:t>The Trustees Nominating Committee will consider applicants with a variety of experiences such as:</w:t>
      </w:r>
    </w:p>
    <w:p w:rsidR="005C1194" w:rsidRDefault="005C1194">
      <w:pPr>
        <w:tabs>
          <w:tab w:val="left" w:pos="1080"/>
          <w:tab w:val="left" w:pos="3960"/>
        </w:tabs>
        <w:rPr>
          <w:sz w:val="26"/>
          <w:szCs w:val="26"/>
        </w:rPr>
      </w:pP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Legal services attorneys, solo practitioners, attorneys with small firms, and attorneys with governmental entities;</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Historically underrepresented groups, such as those underrepresented because of race, ethnicity, gender, and sexual orientation;</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Legal academics;</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Geographic distribution;</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Years of practice;</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Attorneys who are in their first five years of practice;</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Participation in voluntary local or state bar activities;</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Participation in activities to benefit the public; and</w:t>
      </w:r>
    </w:p>
    <w:p w:rsidR="00472308" w:rsidRDefault="00472308" w:rsidP="006252F2">
      <w:pPr>
        <w:pStyle w:val="Level1"/>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Other factors demonstrating a background that will help inform the work of the board.</w:t>
      </w:r>
    </w:p>
    <w:p w:rsidR="002F6FDF" w:rsidRDefault="002F6FDF">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90"/>
        <w:rPr>
          <w:sz w:val="26"/>
          <w:szCs w:val="26"/>
        </w:rPr>
      </w:pP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b/>
          <w:bCs/>
          <w:sz w:val="26"/>
          <w:szCs w:val="26"/>
        </w:rPr>
        <w:t>Appointment and Term</w:t>
      </w:r>
    </w:p>
    <w:p w:rsidR="005C1194" w:rsidRDefault="005C119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The</w:t>
      </w:r>
      <w:r w:rsidR="0024465D">
        <w:rPr>
          <w:sz w:val="26"/>
          <w:szCs w:val="26"/>
        </w:rPr>
        <w:t xml:space="preserve"> Supreme Court’s appointments to the </w:t>
      </w:r>
      <w:r w:rsidR="002F6FDF">
        <w:rPr>
          <w:sz w:val="26"/>
          <w:szCs w:val="26"/>
        </w:rPr>
        <w:t>Board of Trustees will</w:t>
      </w:r>
      <w:r>
        <w:rPr>
          <w:sz w:val="26"/>
          <w:szCs w:val="26"/>
        </w:rPr>
        <w:t xml:space="preserve"> be appointed to</w:t>
      </w:r>
      <w:r w:rsidR="002F6FDF">
        <w:rPr>
          <w:sz w:val="26"/>
          <w:szCs w:val="26"/>
        </w:rPr>
        <w:t xml:space="preserve"> a</w:t>
      </w:r>
      <w:r w:rsidR="00AA1185">
        <w:rPr>
          <w:sz w:val="26"/>
          <w:szCs w:val="26"/>
        </w:rPr>
        <w:t xml:space="preserve"> three year</w:t>
      </w:r>
      <w:r w:rsidR="002F6FDF">
        <w:rPr>
          <w:sz w:val="26"/>
          <w:szCs w:val="26"/>
        </w:rPr>
        <w:t xml:space="preserve"> term</w:t>
      </w:r>
      <w:r w:rsidR="0024465D">
        <w:rPr>
          <w:sz w:val="26"/>
          <w:szCs w:val="26"/>
        </w:rPr>
        <w:t xml:space="preserve">.  </w:t>
      </w:r>
      <w:r w:rsidR="00AA1185">
        <w:rPr>
          <w:sz w:val="26"/>
          <w:szCs w:val="26"/>
        </w:rPr>
        <w:t xml:space="preserve">Members may not serve more than two consecutive full terms. </w:t>
      </w:r>
    </w:p>
    <w:p w:rsidR="00430389" w:rsidRDefault="00430389" w:rsidP="00430389">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6B5585" w:rsidRPr="006B5585" w:rsidRDefault="006B5585" w:rsidP="00430389">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b/>
          <w:sz w:val="26"/>
          <w:szCs w:val="26"/>
        </w:rPr>
      </w:pPr>
      <w:r w:rsidRPr="006B5585">
        <w:rPr>
          <w:b/>
          <w:sz w:val="26"/>
          <w:szCs w:val="26"/>
        </w:rPr>
        <w:t>Duties of Board Members</w:t>
      </w:r>
    </w:p>
    <w:p w:rsidR="006B5585" w:rsidRDefault="006B5585" w:rsidP="00430389">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6B5585" w:rsidRDefault="006B5585" w:rsidP="00430389">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 xml:space="preserve">To assist you better understand the work of the Board of Trustees, enclosed is the </w:t>
      </w:r>
      <w:r w:rsidRPr="006B5585">
        <w:rPr>
          <w:i/>
          <w:sz w:val="26"/>
          <w:szCs w:val="26"/>
        </w:rPr>
        <w:t>State Bar of California Board of Trustees – Duties of Board Members</w:t>
      </w:r>
      <w:r>
        <w:rPr>
          <w:sz w:val="26"/>
          <w:szCs w:val="26"/>
        </w:rPr>
        <w:t>.</w:t>
      </w:r>
    </w:p>
    <w:p w:rsidR="006B5585" w:rsidRDefault="006B5585" w:rsidP="00430389">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b/>
          <w:bCs/>
          <w:sz w:val="26"/>
          <w:szCs w:val="26"/>
        </w:rPr>
        <w:t>Review and Rating of Applicants for Appointment</w:t>
      </w:r>
    </w:p>
    <w:p w:rsidR="005C1194" w:rsidRDefault="005C119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 xml:space="preserve">An extensive professional and personal history, references and background investigation, and personal interview may be required.  Early applications are highly encouraged.  </w:t>
      </w:r>
      <w:r>
        <w:rPr>
          <w:b/>
          <w:bCs/>
          <w:sz w:val="26"/>
          <w:szCs w:val="26"/>
        </w:rPr>
        <w:t>THE DEADLINE FOR RECEIPT OF APPLIC</w:t>
      </w:r>
      <w:r w:rsidR="00B26CAA">
        <w:rPr>
          <w:b/>
          <w:bCs/>
          <w:sz w:val="26"/>
          <w:szCs w:val="26"/>
        </w:rPr>
        <w:t xml:space="preserve">ATIONS IS 5:00 P.M. ON </w:t>
      </w:r>
      <w:r w:rsidR="00627FE6">
        <w:rPr>
          <w:b/>
          <w:bCs/>
          <w:sz w:val="26"/>
          <w:szCs w:val="26"/>
        </w:rPr>
        <w:t xml:space="preserve">FRIDAY, </w:t>
      </w:r>
      <w:r w:rsidR="00B26CAA">
        <w:rPr>
          <w:b/>
          <w:bCs/>
          <w:sz w:val="26"/>
          <w:szCs w:val="26"/>
        </w:rPr>
        <w:t>MARCH 29, 2013</w:t>
      </w:r>
      <w:r>
        <w:rPr>
          <w:b/>
          <w:bCs/>
          <w:sz w:val="26"/>
          <w:szCs w:val="26"/>
        </w:rPr>
        <w:t>.</w:t>
      </w:r>
    </w:p>
    <w:p w:rsidR="005C1194" w:rsidRDefault="005C119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r>
        <w:rPr>
          <w:sz w:val="26"/>
          <w:szCs w:val="26"/>
        </w:rPr>
        <w:t xml:space="preserve">Application forms are available on the State Bar’s website at </w:t>
      </w:r>
      <w:hyperlink r:id="rId6" w:history="1">
        <w:r>
          <w:rPr>
            <w:rStyle w:val="SYSHYPERTEXT"/>
            <w:sz w:val="26"/>
            <w:szCs w:val="26"/>
          </w:rPr>
          <w:t>www.calbar.ca.gov.</w:t>
        </w:r>
      </w:hyperlink>
      <w:r>
        <w:rPr>
          <w:sz w:val="26"/>
          <w:szCs w:val="26"/>
        </w:rPr>
        <w:t xml:space="preserve">  For further information or to request an application packet by mail, please write or call:</w:t>
      </w:r>
    </w:p>
    <w:p w:rsidR="005C1194" w:rsidRDefault="005C119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6"/>
          <w:szCs w:val="26"/>
        </w:rPr>
      </w:pPr>
    </w:p>
    <w:p w:rsidR="00033529" w:rsidRDefault="00B25735">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26"/>
          <w:szCs w:val="26"/>
        </w:rPr>
      </w:pPr>
      <w:r>
        <w:rPr>
          <w:sz w:val="26"/>
          <w:szCs w:val="26"/>
        </w:rPr>
        <w:t>Supreme Court Trustees Nominating Committee</w:t>
      </w:r>
    </w:p>
    <w:p w:rsidR="0024465D" w:rsidRDefault="0024465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26"/>
          <w:szCs w:val="26"/>
        </w:rPr>
      </w:pPr>
      <w:proofErr w:type="gramStart"/>
      <w:r>
        <w:rPr>
          <w:sz w:val="26"/>
          <w:szCs w:val="26"/>
        </w:rPr>
        <w:t>c/o</w:t>
      </w:r>
      <w:proofErr w:type="gramEnd"/>
      <w:r w:rsidR="00B25735">
        <w:rPr>
          <w:sz w:val="26"/>
          <w:szCs w:val="26"/>
        </w:rPr>
        <w:t xml:space="preserve"> Executive Director’s Office</w:t>
      </w: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26"/>
          <w:szCs w:val="26"/>
        </w:rPr>
      </w:pPr>
      <w:r>
        <w:rPr>
          <w:sz w:val="26"/>
          <w:szCs w:val="26"/>
        </w:rPr>
        <w:t>The State Bar of California</w:t>
      </w: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26"/>
          <w:szCs w:val="26"/>
        </w:rPr>
      </w:pPr>
      <w:r>
        <w:rPr>
          <w:sz w:val="26"/>
          <w:szCs w:val="26"/>
        </w:rPr>
        <w:t xml:space="preserve">180 Howard Street, </w:t>
      </w:r>
      <w:r w:rsidR="00B26CAA">
        <w:rPr>
          <w:sz w:val="26"/>
          <w:szCs w:val="26"/>
        </w:rPr>
        <w:t>10</w:t>
      </w:r>
      <w:r>
        <w:rPr>
          <w:sz w:val="26"/>
          <w:szCs w:val="26"/>
          <w:vertAlign w:val="superscript"/>
        </w:rPr>
        <w:t>th</w:t>
      </w:r>
      <w:r>
        <w:rPr>
          <w:sz w:val="26"/>
          <w:szCs w:val="26"/>
        </w:rPr>
        <w:t xml:space="preserve"> Floor</w:t>
      </w: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26"/>
          <w:szCs w:val="26"/>
        </w:rPr>
      </w:pPr>
      <w:r>
        <w:rPr>
          <w:sz w:val="26"/>
          <w:szCs w:val="26"/>
        </w:rPr>
        <w:t>San Francisco, CA 94105-1639</w:t>
      </w:r>
    </w:p>
    <w:p w:rsidR="005C1194" w:rsidRDefault="00CE7421">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26"/>
          <w:szCs w:val="26"/>
        </w:rPr>
      </w:pPr>
      <w:r>
        <w:rPr>
          <w:sz w:val="26"/>
          <w:szCs w:val="26"/>
        </w:rPr>
        <w:t>(415) 538-</w:t>
      </w:r>
      <w:r w:rsidR="00B26CAA">
        <w:rPr>
          <w:sz w:val="26"/>
          <w:szCs w:val="26"/>
        </w:rPr>
        <w:t>2279</w:t>
      </w:r>
    </w:p>
    <w:sectPr w:rsidR="005C1194" w:rsidSect="006B5585">
      <w:pgSz w:w="12240" w:h="15840"/>
      <w:pgMar w:top="936" w:right="1440" w:bottom="93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9E550E"/>
    <w:lvl w:ilvl="0">
      <w:numFmt w:val="decimal"/>
      <w:lvlText w:val="*"/>
      <w:lvlJc w:val="left"/>
    </w:lvl>
  </w:abstractNum>
  <w:abstractNum w:abstractNumId="1">
    <w:nsid w:val="41B80059"/>
    <w:multiLevelType w:val="hybridMultilevel"/>
    <w:tmpl w:val="08DC44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D75857"/>
    <w:multiLevelType w:val="hybridMultilevel"/>
    <w:tmpl w:val="7A0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D354B"/>
    <w:multiLevelType w:val="hybridMultilevel"/>
    <w:tmpl w:val="642C8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lvlOverride w:ilvl="0">
      <w:lvl w:ilvl="0">
        <w:start w:val="1"/>
        <w:numFmt w:val="bullet"/>
        <w:lvlText w:val=""/>
        <w:legacy w:legacy="1" w:legacySpace="0" w:legacyIndent="1"/>
        <w:lvlJc w:val="left"/>
        <w:pPr>
          <w:ind w:left="1" w:hanging="1"/>
        </w:pPr>
        <w:rPr>
          <w:rFonts w:ascii="WP IconicSymbolsA" w:hAnsi="WP IconicSymbolsA" w:hint="default"/>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6005EC"/>
    <w:rsid w:val="000143EF"/>
    <w:rsid w:val="00033529"/>
    <w:rsid w:val="00071907"/>
    <w:rsid w:val="000910E7"/>
    <w:rsid w:val="000D5062"/>
    <w:rsid w:val="00135BD5"/>
    <w:rsid w:val="00205C9A"/>
    <w:rsid w:val="00236394"/>
    <w:rsid w:val="0024465D"/>
    <w:rsid w:val="002E60B7"/>
    <w:rsid w:val="002E7872"/>
    <w:rsid w:val="002F6FDF"/>
    <w:rsid w:val="00387F96"/>
    <w:rsid w:val="003B4DBE"/>
    <w:rsid w:val="00430389"/>
    <w:rsid w:val="00472308"/>
    <w:rsid w:val="004A15F8"/>
    <w:rsid w:val="004C2680"/>
    <w:rsid w:val="00504F41"/>
    <w:rsid w:val="0058635D"/>
    <w:rsid w:val="005C1194"/>
    <w:rsid w:val="006005EC"/>
    <w:rsid w:val="00615580"/>
    <w:rsid w:val="006252F2"/>
    <w:rsid w:val="00627FE6"/>
    <w:rsid w:val="006B5585"/>
    <w:rsid w:val="006E498C"/>
    <w:rsid w:val="007047A6"/>
    <w:rsid w:val="00741120"/>
    <w:rsid w:val="007E5E67"/>
    <w:rsid w:val="00865ECE"/>
    <w:rsid w:val="008975D6"/>
    <w:rsid w:val="008F4073"/>
    <w:rsid w:val="009040BE"/>
    <w:rsid w:val="00924523"/>
    <w:rsid w:val="00962D1E"/>
    <w:rsid w:val="009864EC"/>
    <w:rsid w:val="00AA1185"/>
    <w:rsid w:val="00AB41F6"/>
    <w:rsid w:val="00AE1C03"/>
    <w:rsid w:val="00B25735"/>
    <w:rsid w:val="00B26CAA"/>
    <w:rsid w:val="00BD4BD1"/>
    <w:rsid w:val="00C47CA7"/>
    <w:rsid w:val="00C87EFD"/>
    <w:rsid w:val="00CA1C31"/>
    <w:rsid w:val="00CE7421"/>
    <w:rsid w:val="00D049E1"/>
    <w:rsid w:val="00D12ACD"/>
    <w:rsid w:val="00D4388F"/>
    <w:rsid w:val="00DC6BB3"/>
    <w:rsid w:val="00E57595"/>
    <w:rsid w:val="00EB4AD2"/>
    <w:rsid w:val="00ED283B"/>
    <w:rsid w:val="00ED6D0F"/>
    <w:rsid w:val="00F13AB9"/>
    <w:rsid w:val="00F52CE8"/>
    <w:rsid w:val="00F62FAA"/>
    <w:rsid w:val="00F76201"/>
    <w:rsid w:val="00F9020D"/>
    <w:rsid w:val="00FA7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94"/>
    <w:rPr>
      <w:sz w:val="24"/>
      <w:szCs w:val="24"/>
    </w:rPr>
  </w:style>
  <w:style w:type="paragraph" w:styleId="Heading1">
    <w:name w:val="heading 1"/>
    <w:basedOn w:val="Normal"/>
    <w:next w:val="Normal"/>
    <w:qFormat/>
    <w:rsid w:val="005C1194"/>
    <w:pPr>
      <w:keepNext/>
      <w:outlineLvl w:val="0"/>
    </w:pPr>
    <w:rPr>
      <w:sz w:val="36"/>
    </w:rPr>
  </w:style>
  <w:style w:type="paragraph" w:styleId="Heading2">
    <w:name w:val="heading 2"/>
    <w:basedOn w:val="Normal"/>
    <w:next w:val="Normal"/>
    <w:qFormat/>
    <w:rsid w:val="005C1194"/>
    <w:pPr>
      <w:keepNext/>
      <w:outlineLvl w:val="1"/>
    </w:pPr>
    <w:rPr>
      <w:b/>
      <w:bCs/>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C1194"/>
    <w:rPr>
      <w:b/>
      <w:bCs/>
      <w:szCs w:val="25"/>
    </w:rPr>
  </w:style>
  <w:style w:type="paragraph" w:styleId="FootnoteText">
    <w:name w:val="footnote text"/>
    <w:basedOn w:val="Normal"/>
    <w:semiHidden/>
    <w:rsid w:val="005C1194"/>
    <w:rPr>
      <w:sz w:val="20"/>
      <w:szCs w:val="20"/>
    </w:rPr>
  </w:style>
  <w:style w:type="character" w:styleId="FootnoteReference">
    <w:name w:val="footnote reference"/>
    <w:basedOn w:val="DefaultParagraphFont"/>
    <w:semiHidden/>
    <w:rsid w:val="005C1194"/>
    <w:rPr>
      <w:vertAlign w:val="superscript"/>
    </w:rPr>
  </w:style>
  <w:style w:type="character" w:styleId="Hyperlink">
    <w:name w:val="Hyperlink"/>
    <w:basedOn w:val="DefaultParagraphFont"/>
    <w:semiHidden/>
    <w:rsid w:val="005C1194"/>
    <w:rPr>
      <w:color w:val="0000FF"/>
      <w:u w:val="single"/>
    </w:rPr>
  </w:style>
  <w:style w:type="paragraph" w:styleId="BodyText2">
    <w:name w:val="Body Text 2"/>
    <w:basedOn w:val="Normal"/>
    <w:semiHidden/>
    <w:rsid w:val="005C1194"/>
    <w:rPr>
      <w:sz w:val="25"/>
      <w:szCs w:val="25"/>
    </w:rPr>
  </w:style>
  <w:style w:type="paragraph" w:customStyle="1" w:styleId="Level1">
    <w:name w:val="Level 1"/>
    <w:rsid w:val="005C1194"/>
    <w:pPr>
      <w:autoSpaceDE w:val="0"/>
      <w:autoSpaceDN w:val="0"/>
      <w:adjustRightInd w:val="0"/>
      <w:ind w:left="720"/>
    </w:pPr>
    <w:rPr>
      <w:sz w:val="24"/>
      <w:szCs w:val="24"/>
    </w:rPr>
  </w:style>
  <w:style w:type="character" w:customStyle="1" w:styleId="SYSHYPERTEXT">
    <w:name w:val="SYS_HYPERTEXT"/>
    <w:rsid w:val="005C1194"/>
    <w:rPr>
      <w:color w:val="0000FF"/>
      <w:u w:val="single"/>
    </w:rPr>
  </w:style>
  <w:style w:type="paragraph" w:styleId="BalloonText">
    <w:name w:val="Balloon Text"/>
    <w:basedOn w:val="Normal"/>
    <w:link w:val="BalloonTextChar"/>
    <w:uiPriority w:val="99"/>
    <w:semiHidden/>
    <w:unhideWhenUsed/>
    <w:rsid w:val="00C47CA7"/>
    <w:rPr>
      <w:rFonts w:ascii="Tahoma" w:hAnsi="Tahoma" w:cs="Tahoma"/>
      <w:sz w:val="16"/>
      <w:szCs w:val="16"/>
    </w:rPr>
  </w:style>
  <w:style w:type="character" w:customStyle="1" w:styleId="BalloonTextChar">
    <w:name w:val="Balloon Text Char"/>
    <w:basedOn w:val="DefaultParagraphFont"/>
    <w:link w:val="BalloonText"/>
    <w:uiPriority w:val="99"/>
    <w:semiHidden/>
    <w:rsid w:val="00C47C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bar.org"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4247</CharactersWithSpaces>
  <SharedDoc>false</SharedDoc>
  <HLinks>
    <vt:vector size="6" baseType="variant">
      <vt:variant>
        <vt:i4>3538985</vt:i4>
      </vt:variant>
      <vt:variant>
        <vt:i4>2</vt:i4>
      </vt:variant>
      <vt:variant>
        <vt:i4>0</vt:i4>
      </vt:variant>
      <vt:variant>
        <vt:i4>5</vt:i4>
      </vt:variant>
      <vt:variant>
        <vt:lpwstr>http://www.calbar.org/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Hull</dc:creator>
  <cp:lastModifiedBy>cunningd</cp:lastModifiedBy>
  <cp:revision>6</cp:revision>
  <cp:lastPrinted>2013-02-26T00:45:00Z</cp:lastPrinted>
  <dcterms:created xsi:type="dcterms:W3CDTF">2013-02-26T00:39:00Z</dcterms:created>
  <dcterms:modified xsi:type="dcterms:W3CDTF">2013-02-27T23:42:00Z</dcterms:modified>
</cp:coreProperties>
</file>